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7A4ADC" w14:textId="31B70B94" w:rsidR="000851D7" w:rsidRPr="001E7AAC" w:rsidRDefault="00A92091" w:rsidP="00A92091">
      <w:pPr>
        <w:jc w:val="center"/>
        <w:rPr>
          <w:bCs/>
          <w:sz w:val="48"/>
          <w:szCs w:val="48"/>
        </w:rPr>
      </w:pPr>
      <w:r>
        <w:rPr>
          <w:bCs/>
          <w:sz w:val="48"/>
          <w:szCs w:val="48"/>
        </w:rPr>
        <w:t>The</w:t>
      </w:r>
      <w:r w:rsidR="001E7AAC" w:rsidRPr="001E7AAC">
        <w:rPr>
          <w:bCs/>
          <w:sz w:val="48"/>
          <w:szCs w:val="48"/>
        </w:rPr>
        <w:t xml:space="preserve"> Equilibrium </w:t>
      </w:r>
      <w:r>
        <w:rPr>
          <w:bCs/>
          <w:sz w:val="48"/>
          <w:szCs w:val="48"/>
        </w:rPr>
        <w:t>Constant of FeSCN</w:t>
      </w:r>
    </w:p>
    <w:p w14:paraId="31084232" w14:textId="40CDC7E7" w:rsidR="000851D7" w:rsidRDefault="000851D7" w:rsidP="000851D7">
      <w:pPr>
        <w:pStyle w:val="Heading1"/>
      </w:pPr>
      <w:r>
        <w:t>Introduction</w:t>
      </w:r>
    </w:p>
    <w:p w14:paraId="008EF9C1" w14:textId="77777777" w:rsidR="00A92091" w:rsidRPr="00483459" w:rsidRDefault="00A92091" w:rsidP="00A92091">
      <w:pPr>
        <w:rPr>
          <w:rFonts w:cs="Arial"/>
        </w:rPr>
      </w:pPr>
      <w:r w:rsidRPr="00483459">
        <w:rPr>
          <w:rFonts w:cs="Arial"/>
        </w:rPr>
        <w:t>For the react</w:t>
      </w:r>
      <w:r>
        <w:rPr>
          <w:rFonts w:cs="Arial"/>
        </w:rPr>
        <w:t>ion αA + βB &lt;==&gt; γ</w:t>
      </w:r>
      <w:r w:rsidRPr="00483459">
        <w:rPr>
          <w:rFonts w:cs="Arial"/>
        </w:rPr>
        <w:t>C</w:t>
      </w:r>
      <w:r>
        <w:rPr>
          <w:rFonts w:cs="Arial"/>
        </w:rPr>
        <w:t xml:space="preserve"> + δ</w:t>
      </w:r>
      <w:r w:rsidRPr="00483459">
        <w:rPr>
          <w:rFonts w:cs="Arial"/>
        </w:rPr>
        <w:t>D, equilibrium law states</w:t>
      </w:r>
    </w:p>
    <w:p w14:paraId="6B435E6A" w14:textId="77777777" w:rsidR="00A92091" w:rsidRPr="00483459" w:rsidRDefault="00A92091" w:rsidP="00A92091">
      <w:pPr>
        <w:jc w:val="center"/>
        <w:rPr>
          <w:rFonts w:cs="Arial"/>
        </w:rPr>
      </w:pPr>
      <m:oMathPara>
        <m:oMath>
          <m:sSub>
            <m:sSubPr>
              <m:ctrlPr>
                <w:rPr>
                  <w:rFonts w:ascii="Cambria Math" w:hAnsi="Cambria Math" w:cs="Arial"/>
                  <w:i/>
                </w:rPr>
              </m:ctrlPr>
            </m:sSubPr>
            <m:e>
              <m:r>
                <w:rPr>
                  <w:rFonts w:ascii="Cambria Math" w:hAnsi="Cambria Math" w:cs="Arial"/>
                </w:rPr>
                <m:t>K</m:t>
              </m:r>
            </m:e>
            <m:sub>
              <m:r>
                <w:rPr>
                  <w:rFonts w:ascii="Cambria Math" w:hAnsi="Cambria Math" w:cs="Arial"/>
                </w:rPr>
                <m:t>eq</m:t>
              </m:r>
            </m:sub>
          </m:sSub>
          <m:r>
            <w:rPr>
              <w:rFonts w:ascii="Cambria Math" w:hAnsi="Cambria Math" w:cs="Arial"/>
            </w:rPr>
            <m:t xml:space="preserve">= </m:t>
          </m:r>
          <m:f>
            <m:fPr>
              <m:ctrlPr>
                <w:rPr>
                  <w:rFonts w:ascii="Cambria Math" w:hAnsi="Cambria Math" w:cs="Arial"/>
                  <w:i/>
                </w:rPr>
              </m:ctrlPr>
            </m:fPr>
            <m:num>
              <m:sSup>
                <m:sSupPr>
                  <m:ctrlPr>
                    <w:rPr>
                      <w:rFonts w:ascii="Cambria Math" w:hAnsi="Cambria Math" w:cs="Arial"/>
                      <w:i/>
                    </w:rPr>
                  </m:ctrlPr>
                </m:sSupPr>
                <m:e>
                  <m:r>
                    <w:rPr>
                      <w:rFonts w:ascii="Cambria Math" w:hAnsi="Cambria Math" w:cs="Arial"/>
                    </w:rPr>
                    <m:t>C</m:t>
                  </m:r>
                </m:e>
                <m:sup>
                  <m:r>
                    <w:rPr>
                      <w:rFonts w:ascii="Cambria Math" w:hAnsi="Cambria Math" w:cs="Arial"/>
                    </w:rPr>
                    <m:t>γ</m:t>
                  </m:r>
                </m:sup>
              </m:sSup>
              <m:sSup>
                <m:sSupPr>
                  <m:ctrlPr>
                    <w:rPr>
                      <w:rFonts w:ascii="Cambria Math" w:hAnsi="Cambria Math" w:cs="Arial"/>
                      <w:i/>
                    </w:rPr>
                  </m:ctrlPr>
                </m:sSupPr>
                <m:e>
                  <m:r>
                    <w:rPr>
                      <w:rFonts w:ascii="Cambria Math" w:hAnsi="Cambria Math" w:cs="Arial"/>
                    </w:rPr>
                    <m:t>D</m:t>
                  </m:r>
                </m:e>
                <m:sup>
                  <m:r>
                    <w:rPr>
                      <w:rFonts w:ascii="Cambria Math" w:hAnsi="Cambria Math" w:cs="Arial"/>
                    </w:rPr>
                    <m:t>δ</m:t>
                  </m:r>
                </m:sup>
              </m:sSup>
            </m:num>
            <m:den>
              <m:sSup>
                <m:sSupPr>
                  <m:ctrlPr>
                    <w:rPr>
                      <w:rFonts w:ascii="Cambria Math" w:hAnsi="Cambria Math" w:cs="Arial"/>
                      <w:i/>
                    </w:rPr>
                  </m:ctrlPr>
                </m:sSupPr>
                <m:e>
                  <m:r>
                    <w:rPr>
                      <w:rFonts w:ascii="Cambria Math" w:hAnsi="Cambria Math" w:cs="Arial"/>
                    </w:rPr>
                    <m:t>A</m:t>
                  </m:r>
                </m:e>
                <m:sup>
                  <m:r>
                    <w:rPr>
                      <w:rFonts w:ascii="Cambria Math" w:hAnsi="Cambria Math" w:cs="Arial"/>
                    </w:rPr>
                    <m:t>α</m:t>
                  </m:r>
                </m:sup>
              </m:sSup>
              <m:sSup>
                <m:sSupPr>
                  <m:ctrlPr>
                    <w:rPr>
                      <w:rFonts w:ascii="Cambria Math" w:hAnsi="Cambria Math" w:cs="Arial"/>
                      <w:i/>
                    </w:rPr>
                  </m:ctrlPr>
                </m:sSupPr>
                <m:e>
                  <m:r>
                    <w:rPr>
                      <w:rFonts w:ascii="Cambria Math" w:hAnsi="Cambria Math" w:cs="Arial"/>
                    </w:rPr>
                    <m:t>B</m:t>
                  </m:r>
                </m:e>
                <m:sup>
                  <m:r>
                    <w:rPr>
                      <w:rFonts w:ascii="Cambria Math" w:hAnsi="Cambria Math" w:cs="Arial"/>
                    </w:rPr>
                    <m:t>β</m:t>
                  </m:r>
                </m:sup>
              </m:sSup>
            </m:den>
          </m:f>
        </m:oMath>
      </m:oMathPara>
    </w:p>
    <w:p w14:paraId="5392BA5E" w14:textId="77777777" w:rsidR="00A92091" w:rsidRPr="00483459" w:rsidRDefault="00A92091" w:rsidP="00A92091">
      <w:pPr>
        <w:rPr>
          <w:rFonts w:eastAsia="@Arial Unicode MS" w:cs="@Arial Unicode MS"/>
        </w:rPr>
      </w:pPr>
      <w:r w:rsidRPr="00483459">
        <w:rPr>
          <w:rFonts w:cs="Arial"/>
        </w:rPr>
        <w:t>where K</w:t>
      </w:r>
      <w:r w:rsidRPr="00483459">
        <w:rPr>
          <w:rFonts w:cs="Arial"/>
          <w:vertAlign w:val="subscript"/>
        </w:rPr>
        <w:t>eq</w:t>
      </w:r>
      <w:r w:rsidRPr="00483459">
        <w:rPr>
          <w:rFonts w:cs="Arial"/>
        </w:rPr>
        <w:t xml:space="preserve"> is the equilibrium constant for the reaction. The value of the equilibrium constant may be calculated from experimental data if the concentrations of both the reactants and products at equilibrium are known. The general experimental method is to combine different amounts of reactants with known concentrations and then allow the system to come to equilibrium. Although a single trial is all that is necessary to calculate K</w:t>
      </w:r>
      <w:r w:rsidRPr="00483459">
        <w:rPr>
          <w:rFonts w:cs="Arial"/>
          <w:vertAlign w:val="subscript"/>
        </w:rPr>
        <w:t>eq</w:t>
      </w:r>
      <w:r w:rsidRPr="00483459">
        <w:rPr>
          <w:rFonts w:cs="Arial"/>
        </w:rPr>
        <w:t>, a more accurate method is to prepare a number of experimental trials with different initial reactant concentrations and report the average value of K</w:t>
      </w:r>
      <w:r w:rsidRPr="00483459">
        <w:rPr>
          <w:rFonts w:cs="Arial"/>
          <w:vertAlign w:val="subscript"/>
        </w:rPr>
        <w:t>eq</w:t>
      </w:r>
      <w:r w:rsidRPr="00483459">
        <w:rPr>
          <w:rFonts w:eastAsia="@Arial Unicode MS" w:cs="@Arial Unicode MS"/>
        </w:rPr>
        <w:t xml:space="preserve">. </w:t>
      </w:r>
    </w:p>
    <w:p w14:paraId="2A074394" w14:textId="77777777" w:rsidR="00A92091" w:rsidRPr="00483459" w:rsidRDefault="00A92091" w:rsidP="00A92091">
      <w:pPr>
        <w:rPr>
          <w:rFonts w:cs="Arial"/>
        </w:rPr>
      </w:pPr>
      <w:r w:rsidRPr="00483459">
        <w:rPr>
          <w:rFonts w:cs="Arial"/>
        </w:rPr>
        <w:t xml:space="preserve">Since the concentrations of </w:t>
      </w:r>
      <w:r>
        <w:rPr>
          <w:rFonts w:cs="Arial"/>
        </w:rPr>
        <w:t>the products are initially zero</w:t>
      </w:r>
      <w:r w:rsidRPr="00483459">
        <w:rPr>
          <w:rFonts w:cs="Arial"/>
        </w:rPr>
        <w:t xml:space="preserve"> and since the moles of reactants are known from volume and concentration data, it is possible to calculate the final concentrations of both products and reactants from the coefficients of the balanced reaction as long as the final concentration of at least one of the species at equilibrium is known. In this experiment, a spectrophotometer will be used to experimentally measure the concentratio</w:t>
      </w:r>
      <w:r>
        <w:rPr>
          <w:rFonts w:cs="Arial"/>
        </w:rPr>
        <w:t>n of one of the product</w:t>
      </w:r>
      <w:r w:rsidRPr="00483459">
        <w:rPr>
          <w:rFonts w:cs="Arial"/>
        </w:rPr>
        <w:t xml:space="preserve"> at equilibrium.</w:t>
      </w:r>
    </w:p>
    <w:p w14:paraId="4C2892CB" w14:textId="77777777" w:rsidR="00A92091" w:rsidRDefault="00A92091" w:rsidP="00A92091">
      <w:pPr>
        <w:rPr>
          <w:rFonts w:cs="Arial"/>
        </w:rPr>
      </w:pPr>
      <w:r>
        <w:rPr>
          <w:rFonts w:cs="Arial"/>
        </w:rPr>
        <w:t>The</w:t>
      </w:r>
      <w:r w:rsidRPr="00483459">
        <w:rPr>
          <w:rFonts w:cs="Arial"/>
        </w:rPr>
        <w:t xml:space="preserve"> reaction studied in this experiment is formation of the iron(III) thiocyanate complex from the iron(III) and thiocyanate ions:</w:t>
      </w:r>
    </w:p>
    <w:p w14:paraId="1102C121" w14:textId="688EDFB2" w:rsidR="00A92091" w:rsidRPr="00483459" w:rsidRDefault="00A92091" w:rsidP="00A92091">
      <w:pPr>
        <w:jc w:val="center"/>
        <w:rPr>
          <w:rFonts w:cs="Arial"/>
        </w:rPr>
      </w:pPr>
      <w:r w:rsidRPr="00483459">
        <w:rPr>
          <w:rFonts w:cs="Arial"/>
        </w:rPr>
        <w:t>Fe</w:t>
      </w:r>
      <w:r w:rsidRPr="00483459">
        <w:rPr>
          <w:rFonts w:cs="Arial"/>
          <w:vertAlign w:val="superscript"/>
        </w:rPr>
        <w:t>+3</w:t>
      </w:r>
      <w:r w:rsidRPr="00483459">
        <w:rPr>
          <w:rFonts w:cs="Arial"/>
        </w:rPr>
        <w:t xml:space="preserve"> + SCN</w:t>
      </w:r>
      <w:r w:rsidRPr="00483459">
        <w:rPr>
          <w:rFonts w:cs="Arial"/>
          <w:vertAlign w:val="superscript"/>
        </w:rPr>
        <w:noBreakHyphen/>
      </w:r>
      <w:r>
        <w:rPr>
          <w:rFonts w:cs="Arial"/>
        </w:rPr>
        <w:t xml:space="preserve"> </w:t>
      </w:r>
      <w:r w:rsidRPr="00BD2C6C">
        <w:rPr>
          <w:rFonts w:cs="Arial"/>
        </w:rPr>
        <w:sym w:font="Wingdings" w:char="F0F3"/>
      </w:r>
      <w:r w:rsidRPr="00483459">
        <w:rPr>
          <w:rFonts w:cs="Arial"/>
        </w:rPr>
        <w:t xml:space="preserve"> Fe(SCN)</w:t>
      </w:r>
      <w:r w:rsidRPr="00483459">
        <w:rPr>
          <w:rFonts w:cs="Arial"/>
          <w:vertAlign w:val="superscript"/>
        </w:rPr>
        <w:t>+2</w:t>
      </w:r>
    </w:p>
    <w:p w14:paraId="62959F2B" w14:textId="77777777" w:rsidR="00A92091" w:rsidRDefault="00A92091" w:rsidP="00A92091">
      <w:pPr>
        <w:rPr>
          <w:rFonts w:cs="Arial"/>
        </w:rPr>
      </w:pPr>
      <w:r w:rsidRPr="00483459">
        <w:rPr>
          <w:rFonts w:cs="Arial"/>
        </w:rPr>
        <w:t>with the corresponding equilibrium expression:</w:t>
      </w:r>
    </w:p>
    <w:p w14:paraId="702B3B13" w14:textId="61797E86" w:rsidR="00A92091" w:rsidRPr="00483459" w:rsidRDefault="00A92091" w:rsidP="00A92091">
      <w:pPr>
        <w:rPr>
          <w:rFonts w:cs="Arial"/>
        </w:rPr>
      </w:pPr>
      <m:oMathPara>
        <m:oMath>
          <m:sSub>
            <m:sSubPr>
              <m:ctrlPr>
                <w:rPr>
                  <w:rFonts w:ascii="Cambria Math" w:hAnsi="Cambria Math" w:cs="Arial"/>
                  <w:i/>
                </w:rPr>
              </m:ctrlPr>
            </m:sSubPr>
            <m:e>
              <m:r>
                <w:rPr>
                  <w:rFonts w:ascii="Cambria Math" w:hAnsi="Cambria Math" w:cs="Arial"/>
                </w:rPr>
                <m:t>K</m:t>
              </m:r>
            </m:e>
            <m:sub>
              <m:r>
                <w:rPr>
                  <w:rFonts w:ascii="Cambria Math" w:hAnsi="Cambria Math" w:cs="Arial"/>
                </w:rPr>
                <m:t>eq</m:t>
              </m:r>
            </m:sub>
          </m:sSub>
          <m:r>
            <w:rPr>
              <w:rFonts w:ascii="Cambria Math" w:hAnsi="Cambria Math" w:cs="Arial"/>
            </w:rPr>
            <m:t xml:space="preserve"> = </m:t>
          </m:r>
          <m:f>
            <m:fPr>
              <m:ctrlPr>
                <w:rPr>
                  <w:rFonts w:ascii="Cambria Math" w:hAnsi="Cambria Math" w:cs="Arial"/>
                  <w:i/>
                </w:rPr>
              </m:ctrlPr>
            </m:fPr>
            <m:num>
              <m:r>
                <w:rPr>
                  <w:rFonts w:ascii="Cambria Math" w:hAnsi="Cambria Math" w:cs="Arial"/>
                </w:rPr>
                <m:t>[Fe(SCN</m:t>
              </m:r>
              <m:sSup>
                <m:sSupPr>
                  <m:ctrlPr>
                    <w:rPr>
                      <w:rFonts w:ascii="Cambria Math" w:hAnsi="Cambria Math" w:cs="Arial"/>
                      <w:i/>
                    </w:rPr>
                  </m:ctrlPr>
                </m:sSupPr>
                <m:e>
                  <m:r>
                    <w:rPr>
                      <w:rFonts w:ascii="Cambria Math" w:hAnsi="Cambria Math" w:cs="Arial"/>
                    </w:rPr>
                    <m:t>)</m:t>
                  </m:r>
                </m:e>
                <m:sup>
                  <m:r>
                    <w:rPr>
                      <w:rFonts w:ascii="Cambria Math" w:hAnsi="Cambria Math" w:cs="Arial"/>
                    </w:rPr>
                    <m:t>+2</m:t>
                  </m:r>
                </m:sup>
              </m:sSup>
              <m:r>
                <w:rPr>
                  <w:rFonts w:ascii="Cambria Math" w:hAnsi="Cambria Math" w:cs="Arial"/>
                </w:rPr>
                <m:t xml:space="preserve">] </m:t>
              </m:r>
            </m:num>
            <m:den>
              <m:r>
                <w:rPr>
                  <w:rFonts w:ascii="Cambria Math" w:hAnsi="Cambria Math" w:cs="Arial"/>
                </w:rPr>
                <m:t>[F</m:t>
              </m:r>
              <m:sSup>
                <m:sSupPr>
                  <m:ctrlPr>
                    <w:rPr>
                      <w:rFonts w:ascii="Cambria Math" w:hAnsi="Cambria Math" w:cs="Arial"/>
                      <w:i/>
                    </w:rPr>
                  </m:ctrlPr>
                </m:sSupPr>
                <m:e>
                  <m:r>
                    <w:rPr>
                      <w:rFonts w:ascii="Cambria Math" w:hAnsi="Cambria Math" w:cs="Arial"/>
                    </w:rPr>
                    <m:t>e</m:t>
                  </m:r>
                </m:e>
                <m:sup>
                  <m:r>
                    <w:rPr>
                      <w:rFonts w:ascii="Cambria Math" w:hAnsi="Cambria Math" w:cs="Arial"/>
                    </w:rPr>
                    <m:t>+3</m:t>
                  </m:r>
                </m:sup>
              </m:sSup>
              <m:r>
                <w:rPr>
                  <w:rFonts w:ascii="Cambria Math" w:hAnsi="Cambria Math" w:cs="Arial"/>
                </w:rPr>
                <m:t>] [SC</m:t>
              </m:r>
              <m:sSup>
                <m:sSupPr>
                  <m:ctrlPr>
                    <w:rPr>
                      <w:rFonts w:ascii="Cambria Math" w:hAnsi="Cambria Math" w:cs="Arial"/>
                      <w:i/>
                    </w:rPr>
                  </m:ctrlPr>
                </m:sSupPr>
                <m:e>
                  <m:r>
                    <w:rPr>
                      <w:rFonts w:ascii="Cambria Math" w:hAnsi="Cambria Math" w:cs="Arial"/>
                    </w:rPr>
                    <m:t>N</m:t>
                  </m:r>
                </m:e>
                <m:sup>
                  <m:r>
                    <w:rPr>
                      <w:rFonts w:ascii="Cambria Math" w:hAnsi="Cambria Math" w:cs="Arial"/>
                    </w:rPr>
                    <m:t>-1</m:t>
                  </m:r>
                </m:sup>
              </m:sSup>
              <m:r>
                <w:rPr>
                  <w:rFonts w:ascii="Cambria Math" w:hAnsi="Cambria Math" w:cs="Arial"/>
                </w:rPr>
                <m:t>]</m:t>
              </m:r>
            </m:den>
          </m:f>
        </m:oMath>
      </m:oMathPara>
    </w:p>
    <w:p w14:paraId="05268DAC" w14:textId="77777777" w:rsidR="00A92091" w:rsidRPr="00483459" w:rsidRDefault="00A92091" w:rsidP="00A92091">
      <w:pPr>
        <w:rPr>
          <w:rFonts w:cs="Arial"/>
        </w:rPr>
      </w:pPr>
      <w:r w:rsidRPr="00483459">
        <w:rPr>
          <w:rFonts w:cs="Arial"/>
        </w:rPr>
        <w:t>The thiocyanate ion is colorless and the iron cation is slightly yellowish, but the iron thiocyanate complex is a deep red</w:t>
      </w:r>
      <w:r w:rsidRPr="00483459">
        <w:rPr>
          <w:rFonts w:cs="Arial"/>
        </w:rPr>
        <w:noBreakHyphen/>
        <w:t>orange.</w:t>
      </w:r>
      <w:r>
        <w:rPr>
          <w:rFonts w:cs="Arial"/>
        </w:rPr>
        <w:t xml:space="preserve"> Most</w:t>
      </w:r>
      <w:r w:rsidRPr="00483459">
        <w:rPr>
          <w:rFonts w:cs="Arial"/>
        </w:rPr>
        <w:t xml:space="preserve"> colored species will follow the Beer-Lambert law:</w:t>
      </w:r>
    </w:p>
    <w:p w14:paraId="60D30C4F" w14:textId="0740E18A" w:rsidR="00A92091" w:rsidRPr="00483459" w:rsidRDefault="00A92091" w:rsidP="00A92091">
      <w:pPr>
        <w:rPr>
          <w:rFonts w:cs="Arial"/>
        </w:rPr>
      </w:pPr>
      <w:r>
        <w:rPr>
          <w:rFonts w:cs="Arial"/>
        </w:rPr>
        <w:tab/>
      </w:r>
      <w:r>
        <w:rPr>
          <w:rFonts w:cs="Arial"/>
        </w:rPr>
        <w:tab/>
      </w:r>
      <w:r>
        <w:rPr>
          <w:rFonts w:cs="Arial"/>
        </w:rPr>
        <w:tab/>
      </w:r>
      <w:r>
        <w:rPr>
          <w:rFonts w:cs="Arial"/>
        </w:rPr>
        <w:tab/>
      </w:r>
      <w:r>
        <w:rPr>
          <w:rFonts w:cs="Arial"/>
        </w:rPr>
        <w:tab/>
        <w:t>A = ε</w:t>
      </w:r>
      <w:r w:rsidRPr="00483459">
        <w:rPr>
          <w:rFonts w:cs="Arial"/>
        </w:rPr>
        <w:t>bc</w:t>
      </w:r>
    </w:p>
    <w:p w14:paraId="66C13C31" w14:textId="77777777" w:rsidR="00A92091" w:rsidRPr="00483459" w:rsidRDefault="00A92091" w:rsidP="00A92091">
      <w:pPr>
        <w:rPr>
          <w:rFonts w:cs="Arial"/>
        </w:rPr>
      </w:pPr>
      <w:r w:rsidRPr="00483459">
        <w:rPr>
          <w:rFonts w:cs="Arial"/>
        </w:rPr>
        <w:t>where A is the absorbance me</w:t>
      </w:r>
      <w:r>
        <w:rPr>
          <w:rFonts w:cs="Arial"/>
        </w:rPr>
        <w:t>asured by a spectrophotometer, ε</w:t>
      </w:r>
      <w:r w:rsidRPr="00483459">
        <w:rPr>
          <w:rFonts w:cs="Arial"/>
        </w:rPr>
        <w:t xml:space="preserve"> is the absorptivity at a given wavelength of light, b is the path length and c is the concentration of the absorbing species. Since the w</w:t>
      </w:r>
      <w:r>
        <w:rPr>
          <w:rFonts w:cs="Arial"/>
        </w:rPr>
        <w:t>avelength and path length ar</w:t>
      </w:r>
      <w:r w:rsidRPr="00483459">
        <w:rPr>
          <w:rFonts w:cs="Arial"/>
        </w:rPr>
        <w:t>e held constant, the relationship between absorbance and concentration should be linear.</w:t>
      </w:r>
    </w:p>
    <w:p w14:paraId="0D8E59B1" w14:textId="77777777" w:rsidR="00A92091" w:rsidRPr="00483459" w:rsidRDefault="00A92091" w:rsidP="00A92091">
      <w:pPr>
        <w:rPr>
          <w:rFonts w:cs="Arial"/>
        </w:rPr>
      </w:pPr>
      <w:r w:rsidRPr="00483459">
        <w:rPr>
          <w:rFonts w:cs="Arial"/>
        </w:rPr>
        <w:lastRenderedPageBreak/>
        <w:t>From the absorbance of the iron thiocyanate complex, the concentration at equilibrium may be determined from a Beer's law plot. The definition of molarity and reaction stoichiometry may then be used to determine concentrations of the iron ion and the thiocyanate ion, and from these three concentrations the equilibrium constant may be calculated.</w:t>
      </w:r>
    </w:p>
    <w:p w14:paraId="4B154D3A" w14:textId="0B407620" w:rsidR="000851D7" w:rsidRDefault="000851D7" w:rsidP="000851D7"/>
    <w:p w14:paraId="43006B1D" w14:textId="51B159A3" w:rsidR="000851D7" w:rsidRDefault="000851D7" w:rsidP="000851D7">
      <w:pPr>
        <w:pStyle w:val="Heading1"/>
      </w:pPr>
      <w:r>
        <w:t>Materials and Methods</w:t>
      </w:r>
    </w:p>
    <w:p w14:paraId="1BC89251" w14:textId="0F1BBAFD" w:rsidR="000851D7" w:rsidRDefault="00A92091" w:rsidP="000851D7">
      <w:r>
        <w:t>Spectrophotometer and cuvettes</w:t>
      </w:r>
    </w:p>
    <w:p w14:paraId="1AD55B49" w14:textId="1D24FC91" w:rsidR="00A92091" w:rsidRDefault="00A92091" w:rsidP="000851D7">
      <w:r w:rsidRPr="00483459">
        <w:rPr>
          <w:rFonts w:cs="Arial"/>
        </w:rPr>
        <w:t xml:space="preserve">0.005 M </w:t>
      </w:r>
      <w:r>
        <w:rPr>
          <w:rFonts w:cs="Arial"/>
        </w:rPr>
        <w:t xml:space="preserve">Iron(III) nitrate, </w:t>
      </w:r>
      <w:r w:rsidRPr="00483459">
        <w:rPr>
          <w:rFonts w:cs="Arial"/>
        </w:rPr>
        <w:t>Fe(NO</w:t>
      </w:r>
      <w:r w:rsidRPr="00483459">
        <w:rPr>
          <w:rFonts w:cs="Arial"/>
          <w:vertAlign w:val="subscript"/>
        </w:rPr>
        <w:t>3</w:t>
      </w:r>
      <w:r w:rsidRPr="00483459">
        <w:rPr>
          <w:rFonts w:cs="Arial"/>
        </w:rPr>
        <w:t>)</w:t>
      </w:r>
      <w:r w:rsidRPr="00483459">
        <w:rPr>
          <w:rFonts w:cs="Arial"/>
          <w:vertAlign w:val="subscript"/>
        </w:rPr>
        <w:t>3</w:t>
      </w:r>
    </w:p>
    <w:p w14:paraId="4340B3A8" w14:textId="6B8F183C" w:rsidR="000851D7" w:rsidRDefault="00A92091" w:rsidP="000851D7">
      <w:pPr>
        <w:rPr>
          <w:rFonts w:cs="Arial"/>
        </w:rPr>
      </w:pPr>
      <w:r w:rsidRPr="00483459">
        <w:rPr>
          <w:rFonts w:cs="Arial"/>
        </w:rPr>
        <w:t xml:space="preserve">0.002 M </w:t>
      </w:r>
      <w:r>
        <w:rPr>
          <w:rFonts w:cs="Arial"/>
        </w:rPr>
        <w:t xml:space="preserve">Sodium thiocyanate, </w:t>
      </w:r>
      <w:r w:rsidRPr="00483459">
        <w:rPr>
          <w:rFonts w:cs="Arial"/>
        </w:rPr>
        <w:t>NaSCN</w:t>
      </w:r>
    </w:p>
    <w:p w14:paraId="02E6D538" w14:textId="28A3E05A" w:rsidR="00A92091" w:rsidRPr="00A92091" w:rsidRDefault="00A92091" w:rsidP="000851D7">
      <w:pPr>
        <w:rPr>
          <w:rFonts w:cs="Arial"/>
        </w:rPr>
      </w:pPr>
      <w:r>
        <w:rPr>
          <w:rFonts w:cs="Arial"/>
        </w:rPr>
        <w:t>0.1 M Nitric acid, HNO</w:t>
      </w:r>
      <w:r>
        <w:rPr>
          <w:rFonts w:cs="Arial"/>
          <w:vertAlign w:val="subscript"/>
        </w:rPr>
        <w:t>3</w:t>
      </w:r>
    </w:p>
    <w:p w14:paraId="34C9F090" w14:textId="7CECA0B8" w:rsidR="00A92091" w:rsidRDefault="00A92091" w:rsidP="000851D7">
      <w:pPr>
        <w:rPr>
          <w:rFonts w:cs="Arial"/>
        </w:rPr>
      </w:pPr>
      <w:r>
        <w:rPr>
          <w:rFonts w:cs="Arial"/>
        </w:rPr>
        <w:t>A 5.0 mL and a graduated 5.0 pipet</w:t>
      </w:r>
    </w:p>
    <w:p w14:paraId="2687A51C" w14:textId="34BCD4B2" w:rsidR="00A92091" w:rsidRDefault="00A92091" w:rsidP="000851D7">
      <w:r>
        <w:rPr>
          <w:rFonts w:cs="Arial"/>
        </w:rPr>
        <w:t>Five 50-ml beakers</w:t>
      </w:r>
    </w:p>
    <w:p w14:paraId="3DF8341D" w14:textId="5989CA85" w:rsidR="000851D7" w:rsidRDefault="000851D7" w:rsidP="000851D7">
      <w:pPr>
        <w:pStyle w:val="Heading1"/>
      </w:pPr>
      <w:r>
        <w:t>Procedure</w:t>
      </w:r>
    </w:p>
    <w:p w14:paraId="356B5433" w14:textId="4F6F9361" w:rsidR="00A92091" w:rsidRDefault="00A92091" w:rsidP="00A92091">
      <w:pPr>
        <w:pStyle w:val="ListParagraph"/>
        <w:numPr>
          <w:ilvl w:val="0"/>
          <w:numId w:val="3"/>
        </w:numPr>
        <w:rPr>
          <w:rFonts w:cs="Arial"/>
        </w:rPr>
      </w:pPr>
      <w:r w:rsidRPr="00A92091">
        <w:rPr>
          <w:rFonts w:cs="Arial"/>
        </w:rPr>
        <w:t>Pipet 5 ml of 0.005 M Fe(NO</w:t>
      </w:r>
      <w:r w:rsidRPr="00A92091">
        <w:rPr>
          <w:rFonts w:cs="Arial"/>
          <w:vertAlign w:val="subscript"/>
        </w:rPr>
        <w:t>3</w:t>
      </w:r>
      <w:r w:rsidRPr="00A92091">
        <w:rPr>
          <w:rFonts w:cs="Arial"/>
        </w:rPr>
        <w:t>)</w:t>
      </w:r>
      <w:r w:rsidRPr="00A92091">
        <w:rPr>
          <w:rFonts w:cs="Arial"/>
          <w:vertAlign w:val="subscript"/>
        </w:rPr>
        <w:t>3</w:t>
      </w:r>
      <w:r w:rsidRPr="00A92091">
        <w:rPr>
          <w:rFonts w:cs="Arial"/>
        </w:rPr>
        <w:t xml:space="preserve"> into five clean </w:t>
      </w:r>
      <w:r>
        <w:rPr>
          <w:rFonts w:cs="Arial"/>
        </w:rPr>
        <w:t>5</w:t>
      </w:r>
      <w:r w:rsidRPr="00A92091">
        <w:rPr>
          <w:rFonts w:cs="Arial"/>
        </w:rPr>
        <w:t xml:space="preserve">0 mL beakers. </w:t>
      </w:r>
    </w:p>
    <w:p w14:paraId="5519B25F" w14:textId="3B8D8C38" w:rsidR="00A92091" w:rsidRDefault="00A92091" w:rsidP="00A92091">
      <w:pPr>
        <w:pStyle w:val="ListParagraph"/>
        <w:numPr>
          <w:ilvl w:val="0"/>
          <w:numId w:val="3"/>
        </w:numPr>
        <w:rPr>
          <w:rFonts w:cs="Arial"/>
        </w:rPr>
      </w:pPr>
      <w:r w:rsidRPr="00A92091">
        <w:rPr>
          <w:rFonts w:cs="Arial"/>
        </w:rPr>
        <w:t>Pipet 1</w:t>
      </w:r>
      <w:r>
        <w:rPr>
          <w:rFonts w:cs="Arial"/>
        </w:rPr>
        <w:t>.00</w:t>
      </w:r>
      <w:r w:rsidRPr="00A92091">
        <w:rPr>
          <w:rFonts w:cs="Arial"/>
        </w:rPr>
        <w:t>, 2</w:t>
      </w:r>
      <w:r>
        <w:rPr>
          <w:rFonts w:cs="Arial"/>
        </w:rPr>
        <w:t>.00</w:t>
      </w:r>
      <w:r w:rsidRPr="00A92091">
        <w:rPr>
          <w:rFonts w:cs="Arial"/>
        </w:rPr>
        <w:t>, 3</w:t>
      </w:r>
      <w:r>
        <w:rPr>
          <w:rFonts w:cs="Arial"/>
        </w:rPr>
        <w:t>.00</w:t>
      </w:r>
      <w:r w:rsidRPr="00A92091">
        <w:rPr>
          <w:rFonts w:cs="Arial"/>
        </w:rPr>
        <w:t>, 4</w:t>
      </w:r>
      <w:r>
        <w:rPr>
          <w:rFonts w:cs="Arial"/>
        </w:rPr>
        <w:t>.00</w:t>
      </w:r>
      <w:r w:rsidRPr="00A92091">
        <w:rPr>
          <w:rFonts w:cs="Arial"/>
        </w:rPr>
        <w:t>, and 5</w:t>
      </w:r>
      <w:r>
        <w:rPr>
          <w:rFonts w:cs="Arial"/>
        </w:rPr>
        <w:t>.00</w:t>
      </w:r>
      <w:r w:rsidRPr="00A92091">
        <w:rPr>
          <w:rFonts w:cs="Arial"/>
        </w:rPr>
        <w:t xml:space="preserve"> ml of 0.002 M NaSCN, respectively into beakers 1-5. </w:t>
      </w:r>
    </w:p>
    <w:p w14:paraId="47F7317A" w14:textId="12D3F4EF" w:rsidR="00A92091" w:rsidRDefault="00A92091" w:rsidP="00A92091">
      <w:pPr>
        <w:pStyle w:val="ListParagraph"/>
        <w:numPr>
          <w:ilvl w:val="0"/>
          <w:numId w:val="3"/>
        </w:numPr>
        <w:rPr>
          <w:rFonts w:cs="Arial"/>
        </w:rPr>
      </w:pPr>
      <w:r w:rsidRPr="00A92091">
        <w:rPr>
          <w:rFonts w:cs="Arial"/>
        </w:rPr>
        <w:t>Pipet 4</w:t>
      </w:r>
      <w:r>
        <w:rPr>
          <w:rFonts w:cs="Arial"/>
        </w:rPr>
        <w:t>.00</w:t>
      </w:r>
      <w:r w:rsidRPr="00A92091">
        <w:rPr>
          <w:rFonts w:cs="Arial"/>
        </w:rPr>
        <w:t>, 3</w:t>
      </w:r>
      <w:r>
        <w:rPr>
          <w:rFonts w:cs="Arial"/>
        </w:rPr>
        <w:t>.00</w:t>
      </w:r>
      <w:r w:rsidRPr="00A92091">
        <w:rPr>
          <w:rFonts w:cs="Arial"/>
        </w:rPr>
        <w:t>, 2</w:t>
      </w:r>
      <w:r>
        <w:rPr>
          <w:rFonts w:cs="Arial"/>
        </w:rPr>
        <w:t>.00</w:t>
      </w:r>
      <w:r w:rsidRPr="00A92091">
        <w:rPr>
          <w:rFonts w:cs="Arial"/>
        </w:rPr>
        <w:t>, 1</w:t>
      </w:r>
      <w:r>
        <w:rPr>
          <w:rFonts w:cs="Arial"/>
        </w:rPr>
        <w:t>.00</w:t>
      </w:r>
      <w:r w:rsidRPr="00A92091">
        <w:rPr>
          <w:rFonts w:cs="Arial"/>
        </w:rPr>
        <w:t xml:space="preserve"> and no 0.1 M HNO</w:t>
      </w:r>
      <w:r w:rsidRPr="00A92091">
        <w:rPr>
          <w:rFonts w:cs="Arial"/>
          <w:vertAlign w:val="subscript"/>
        </w:rPr>
        <w:t>3</w:t>
      </w:r>
      <w:r w:rsidRPr="00A92091">
        <w:rPr>
          <w:rFonts w:cs="Arial"/>
        </w:rPr>
        <w:t xml:space="preserve">, respectively, into each beaker so that all solutions have a total volume of 10.0 ml. </w:t>
      </w:r>
    </w:p>
    <w:p w14:paraId="55E62B58" w14:textId="4673731A" w:rsidR="00A92091" w:rsidRPr="00A92091" w:rsidRDefault="00A92091" w:rsidP="00A92091">
      <w:pPr>
        <w:pStyle w:val="ListParagraph"/>
        <w:numPr>
          <w:ilvl w:val="0"/>
          <w:numId w:val="3"/>
        </w:numPr>
        <w:rPr>
          <w:rFonts w:cs="Arial"/>
        </w:rPr>
      </w:pPr>
      <w:r w:rsidRPr="00A92091">
        <w:rPr>
          <w:rFonts w:cs="Arial"/>
        </w:rPr>
        <w:t xml:space="preserve">Measure the absorbance </w:t>
      </w:r>
      <w:r>
        <w:rPr>
          <w:rFonts w:cs="Arial"/>
        </w:rPr>
        <w:t xml:space="preserve">of each solution </w:t>
      </w:r>
      <w:r w:rsidRPr="00A92091">
        <w:rPr>
          <w:rFonts w:cs="Arial"/>
        </w:rPr>
        <w:t>at 447 nm</w:t>
      </w:r>
      <w:r>
        <w:rPr>
          <w:rFonts w:cs="Arial"/>
        </w:rPr>
        <w:t>.</w:t>
      </w:r>
    </w:p>
    <w:p w14:paraId="66F2962D" w14:textId="31E6567B" w:rsidR="000851D7" w:rsidRDefault="000851D7" w:rsidP="000851D7">
      <w:pPr>
        <w:pStyle w:val="Heading1"/>
      </w:pPr>
      <w:r>
        <w:t>Data and Results</w:t>
      </w:r>
    </w:p>
    <w:p w14:paraId="57957A69" w14:textId="4E9BA24B" w:rsidR="00A92091" w:rsidRPr="00A92091" w:rsidRDefault="00A92091" w:rsidP="00A92091">
      <w:pPr>
        <w:pStyle w:val="ListParagraph"/>
        <w:numPr>
          <w:ilvl w:val="0"/>
          <w:numId w:val="4"/>
        </w:numPr>
        <w:rPr>
          <w:rFonts w:cs="Arial"/>
        </w:rPr>
      </w:pPr>
      <w:r>
        <w:rPr>
          <w:rFonts w:cs="Arial"/>
        </w:rPr>
        <w:t>D</w:t>
      </w:r>
      <w:r w:rsidRPr="00A92091">
        <w:rPr>
          <w:rFonts w:cs="Arial"/>
        </w:rPr>
        <w:t>etermine the Fe[SCN]</w:t>
      </w:r>
      <w:r w:rsidRPr="00A92091">
        <w:rPr>
          <w:rFonts w:cs="Arial"/>
          <w:vertAlign w:val="superscript"/>
        </w:rPr>
        <w:t>2+</w:t>
      </w:r>
      <w:r w:rsidRPr="00A92091">
        <w:rPr>
          <w:rFonts w:cs="Arial"/>
        </w:rPr>
        <w:t xml:space="preserve"> concentration from the relationship:</w:t>
      </w:r>
    </w:p>
    <w:p w14:paraId="5A3B166B" w14:textId="77777777" w:rsidR="00A92091" w:rsidRPr="00483459" w:rsidRDefault="00A92091" w:rsidP="00A92091">
      <w:pPr>
        <w:ind w:left="2880"/>
        <w:rPr>
          <w:rFonts w:cs="Arial"/>
        </w:rPr>
      </w:pPr>
      <w:r w:rsidRPr="00483459">
        <w:rPr>
          <w:rFonts w:cs="Arial"/>
        </w:rPr>
        <w:t>A = 7000 [Fe(SCN)</w:t>
      </w:r>
      <w:r w:rsidRPr="00483459">
        <w:rPr>
          <w:rFonts w:cs="Arial"/>
          <w:vertAlign w:val="superscript"/>
        </w:rPr>
        <w:t>2+</w:t>
      </w:r>
      <w:r w:rsidRPr="00483459">
        <w:rPr>
          <w:rFonts w:cs="Arial"/>
        </w:rPr>
        <w:t>]</w:t>
      </w:r>
    </w:p>
    <w:p w14:paraId="5EE910C8" w14:textId="66B784D7" w:rsidR="00A92091" w:rsidRDefault="00A92091" w:rsidP="00A92091">
      <w:pPr>
        <w:pStyle w:val="ListParagraph"/>
        <w:numPr>
          <w:ilvl w:val="0"/>
          <w:numId w:val="4"/>
        </w:numPr>
        <w:rPr>
          <w:rFonts w:cs="Arial"/>
        </w:rPr>
      </w:pPr>
      <w:r w:rsidRPr="00A92091">
        <w:rPr>
          <w:rFonts w:cs="Arial"/>
        </w:rPr>
        <w:t xml:space="preserve">Determine the </w:t>
      </w:r>
      <w:r>
        <w:rPr>
          <w:rFonts w:cs="Arial"/>
        </w:rPr>
        <w:t xml:space="preserve">initial </w:t>
      </w:r>
      <w:r w:rsidRPr="00A92091">
        <w:rPr>
          <w:rFonts w:cs="Arial"/>
        </w:rPr>
        <w:t>concentrations of the iron and thiocyanate ions</w:t>
      </w:r>
      <w:r w:rsidR="00DE2725">
        <w:rPr>
          <w:rFonts w:cs="Arial"/>
        </w:rPr>
        <w:t xml:space="preserve"> for each trial</w:t>
      </w:r>
      <w:r w:rsidRPr="00A92091">
        <w:rPr>
          <w:rFonts w:cs="Arial"/>
        </w:rPr>
        <w:t xml:space="preserve"> </w:t>
      </w:r>
      <w:r>
        <w:rPr>
          <w:rFonts w:cs="Arial"/>
        </w:rPr>
        <w:t>before reaction by multiplying the</w:t>
      </w:r>
      <w:r w:rsidR="00DE2725">
        <w:rPr>
          <w:rFonts w:cs="Arial"/>
        </w:rPr>
        <w:t>ir</w:t>
      </w:r>
      <w:r>
        <w:rPr>
          <w:rFonts w:cs="Arial"/>
        </w:rPr>
        <w:t xml:space="preserve"> concentration</w:t>
      </w:r>
      <w:r w:rsidR="00DE2725">
        <w:rPr>
          <w:rFonts w:cs="Arial"/>
        </w:rPr>
        <w:t>s</w:t>
      </w:r>
      <w:r>
        <w:rPr>
          <w:rFonts w:cs="Arial"/>
        </w:rPr>
        <w:t xml:space="preserve"> by the</w:t>
      </w:r>
      <w:r w:rsidR="00DE2725">
        <w:rPr>
          <w:rFonts w:cs="Arial"/>
        </w:rPr>
        <w:t>ir</w:t>
      </w:r>
      <w:r>
        <w:rPr>
          <w:rFonts w:cs="Arial"/>
        </w:rPr>
        <w:t xml:space="preserve"> volume</w:t>
      </w:r>
      <w:r w:rsidR="00DE2725">
        <w:rPr>
          <w:rFonts w:cs="Arial"/>
        </w:rPr>
        <w:t>s</w:t>
      </w:r>
      <w:r>
        <w:rPr>
          <w:rFonts w:cs="Arial"/>
        </w:rPr>
        <w:t xml:space="preserve"> (in liters).</w:t>
      </w:r>
    </w:p>
    <w:p w14:paraId="7F58509E" w14:textId="4F4032AE" w:rsidR="00DE2725" w:rsidRDefault="00A92091" w:rsidP="00A92091">
      <w:pPr>
        <w:pStyle w:val="ListParagraph"/>
        <w:numPr>
          <w:ilvl w:val="0"/>
          <w:numId w:val="4"/>
        </w:numPr>
        <w:rPr>
          <w:rFonts w:cs="Arial"/>
        </w:rPr>
      </w:pPr>
      <w:r>
        <w:rPr>
          <w:rFonts w:cs="Arial"/>
        </w:rPr>
        <w:t>De</w:t>
      </w:r>
      <w:r w:rsidR="00DE2725">
        <w:rPr>
          <w:rFonts w:cs="Arial"/>
        </w:rPr>
        <w:t xml:space="preserve">termine the moles of the FeSCN complex formed for each trial by multiplying the </w:t>
      </w:r>
      <w:r w:rsidRPr="00A92091">
        <w:rPr>
          <w:rFonts w:cs="Arial"/>
        </w:rPr>
        <w:t>concentration of the complex</w:t>
      </w:r>
      <w:r w:rsidR="00DE2725">
        <w:rPr>
          <w:rFonts w:cs="Arial"/>
        </w:rPr>
        <w:t xml:space="preserve"> by the total volume (in liters).</w:t>
      </w:r>
    </w:p>
    <w:p w14:paraId="00274DA9" w14:textId="77777777" w:rsidR="00DE2725" w:rsidRDefault="00DE2725" w:rsidP="00A92091">
      <w:pPr>
        <w:pStyle w:val="ListParagraph"/>
        <w:numPr>
          <w:ilvl w:val="0"/>
          <w:numId w:val="4"/>
        </w:numPr>
        <w:rPr>
          <w:rFonts w:cs="Arial"/>
        </w:rPr>
      </w:pPr>
      <w:r>
        <w:rPr>
          <w:rFonts w:cs="Arial"/>
        </w:rPr>
        <w:t>Determine</w:t>
      </w:r>
      <w:r w:rsidR="00A92091" w:rsidRPr="00A92091">
        <w:rPr>
          <w:rFonts w:cs="Arial"/>
        </w:rPr>
        <w:t xml:space="preserve"> the </w:t>
      </w:r>
      <w:r>
        <w:rPr>
          <w:rFonts w:cs="Arial"/>
        </w:rPr>
        <w:t>equilibrium moles</w:t>
      </w:r>
      <w:r w:rsidR="00A92091" w:rsidRPr="00A92091">
        <w:rPr>
          <w:rFonts w:cs="Arial"/>
        </w:rPr>
        <w:t xml:space="preserve"> of the two reactant</w:t>
      </w:r>
      <w:r>
        <w:rPr>
          <w:rFonts w:cs="Arial"/>
        </w:rPr>
        <w:t>s</w:t>
      </w:r>
      <w:r w:rsidR="00A92091" w:rsidRPr="00A92091">
        <w:rPr>
          <w:rFonts w:cs="Arial"/>
        </w:rPr>
        <w:t xml:space="preserve"> </w:t>
      </w:r>
      <w:r>
        <w:rPr>
          <w:rFonts w:cs="Arial"/>
        </w:rPr>
        <w:t>in each trial by subtracting the moles of complex from initial moles of each</w:t>
      </w:r>
      <w:r w:rsidR="00A92091" w:rsidRPr="00A92091">
        <w:rPr>
          <w:rFonts w:cs="Arial"/>
        </w:rPr>
        <w:t>.</w:t>
      </w:r>
    </w:p>
    <w:p w14:paraId="65B624A1" w14:textId="7EB9094F" w:rsidR="00DE2725" w:rsidRDefault="00DE2725" w:rsidP="00A92091">
      <w:pPr>
        <w:pStyle w:val="ListParagraph"/>
        <w:numPr>
          <w:ilvl w:val="0"/>
          <w:numId w:val="4"/>
        </w:numPr>
        <w:rPr>
          <w:rFonts w:cs="Arial"/>
        </w:rPr>
      </w:pPr>
      <w:r>
        <w:rPr>
          <w:rFonts w:cs="Arial"/>
        </w:rPr>
        <w:t>Determine</w:t>
      </w:r>
      <w:r w:rsidRPr="00A92091">
        <w:rPr>
          <w:rFonts w:cs="Arial"/>
        </w:rPr>
        <w:t xml:space="preserve"> the </w:t>
      </w:r>
      <w:r>
        <w:rPr>
          <w:rFonts w:cs="Arial"/>
        </w:rPr>
        <w:t xml:space="preserve">equilibrium </w:t>
      </w:r>
      <w:r>
        <w:rPr>
          <w:rFonts w:cs="Arial"/>
        </w:rPr>
        <w:t>concentrations</w:t>
      </w:r>
      <w:r w:rsidRPr="00A92091">
        <w:rPr>
          <w:rFonts w:cs="Arial"/>
        </w:rPr>
        <w:t xml:space="preserve"> of the two reactant</w:t>
      </w:r>
      <w:r>
        <w:rPr>
          <w:rFonts w:cs="Arial"/>
        </w:rPr>
        <w:t>s</w:t>
      </w:r>
      <w:r w:rsidRPr="00A92091">
        <w:rPr>
          <w:rFonts w:cs="Arial"/>
        </w:rPr>
        <w:t xml:space="preserve"> </w:t>
      </w:r>
      <w:r>
        <w:rPr>
          <w:rFonts w:cs="Arial"/>
        </w:rPr>
        <w:t>in each trial by</w:t>
      </w:r>
      <w:r>
        <w:rPr>
          <w:rFonts w:cs="Arial"/>
        </w:rPr>
        <w:t xml:space="preserve"> dividing the equilibrium moles by the total volume of solution (in liters).</w:t>
      </w:r>
    </w:p>
    <w:p w14:paraId="2449A473" w14:textId="3282D079" w:rsidR="00A92091" w:rsidRPr="00A92091" w:rsidRDefault="00A92091" w:rsidP="00A92091">
      <w:pPr>
        <w:pStyle w:val="ListParagraph"/>
        <w:numPr>
          <w:ilvl w:val="0"/>
          <w:numId w:val="4"/>
        </w:numPr>
        <w:rPr>
          <w:rFonts w:cs="Arial"/>
        </w:rPr>
      </w:pPr>
      <w:r w:rsidRPr="00A92091">
        <w:rPr>
          <w:rFonts w:cs="Arial"/>
        </w:rPr>
        <w:t>Calculate the equilibrium constant for each trial and report e</w:t>
      </w:r>
      <w:r w:rsidR="00DE2725">
        <w:rPr>
          <w:rFonts w:cs="Arial"/>
        </w:rPr>
        <w:t>ach</w:t>
      </w:r>
      <w:r w:rsidRPr="00A92091">
        <w:rPr>
          <w:rFonts w:cs="Arial"/>
        </w:rPr>
        <w:t xml:space="preserve"> value</w:t>
      </w:r>
      <w:r w:rsidR="00DE2725">
        <w:rPr>
          <w:rFonts w:cs="Arial"/>
        </w:rPr>
        <w:t>,</w:t>
      </w:r>
      <w:r w:rsidRPr="00A92091">
        <w:rPr>
          <w:rFonts w:cs="Arial"/>
        </w:rPr>
        <w:t xml:space="preserve"> as well as the average value of K</w:t>
      </w:r>
      <w:r w:rsidRPr="00A92091">
        <w:rPr>
          <w:rFonts w:cs="Arial"/>
          <w:vertAlign w:val="subscript"/>
        </w:rPr>
        <w:t>eq</w:t>
      </w:r>
      <w:r w:rsidRPr="00A92091">
        <w:rPr>
          <w:rFonts w:cs="Arial"/>
        </w:rPr>
        <w:t>.</w:t>
      </w:r>
    </w:p>
    <w:p w14:paraId="3836905E" w14:textId="77777777" w:rsidR="00A92091" w:rsidRPr="00A92091" w:rsidRDefault="00A92091" w:rsidP="00A92091"/>
    <w:p w14:paraId="6520C120" w14:textId="386543F4" w:rsidR="000851D7" w:rsidRPr="000851D7" w:rsidRDefault="000851D7" w:rsidP="000851D7"/>
    <w:p w14:paraId="1C04CAA5" w14:textId="7EDED495" w:rsidR="000851D7" w:rsidRDefault="000851D7" w:rsidP="000851D7"/>
    <w:p w14:paraId="458E649F" w14:textId="77777777" w:rsidR="000851D7" w:rsidRPr="000851D7" w:rsidRDefault="000851D7" w:rsidP="000851D7">
      <w:pPr>
        <w:pStyle w:val="Heading1"/>
      </w:pPr>
    </w:p>
    <w:sectPr w:rsidR="000851D7" w:rsidRPr="000851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E1FC0"/>
    <w:multiLevelType w:val="hybridMultilevel"/>
    <w:tmpl w:val="2CEEFEC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26B92F8F"/>
    <w:multiLevelType w:val="hybridMultilevel"/>
    <w:tmpl w:val="66D44370"/>
    <w:lvl w:ilvl="0" w:tplc="97AAE390">
      <w:start w:val="1"/>
      <w:numFmt w:val="bullet"/>
      <w:lvlText w:val="•"/>
      <w:lvlJc w:val="left"/>
      <w:pPr>
        <w:tabs>
          <w:tab w:val="num" w:pos="504"/>
        </w:tabs>
        <w:ind w:left="288" w:hanging="144"/>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64F16AF"/>
    <w:multiLevelType w:val="hybridMultilevel"/>
    <w:tmpl w:val="D888723E"/>
    <w:lvl w:ilvl="0" w:tplc="74A09FEA">
      <w:numFmt w:val="bullet"/>
      <w:lvlText w:val="•"/>
      <w:lvlJc w:val="left"/>
      <w:pPr>
        <w:tabs>
          <w:tab w:val="num" w:pos="0"/>
        </w:tabs>
        <w:ind w:left="450" w:hanging="18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0DE1690"/>
    <w:multiLevelType w:val="hybridMultilevel"/>
    <w:tmpl w:val="9A74FB2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528300177">
    <w:abstractNumId w:val="1"/>
  </w:num>
  <w:num w:numId="2" w16cid:durableId="116729598">
    <w:abstractNumId w:val="2"/>
  </w:num>
  <w:num w:numId="3" w16cid:durableId="1594506414">
    <w:abstractNumId w:val="0"/>
  </w:num>
  <w:num w:numId="4" w16cid:durableId="78685629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145"/>
    <w:rsid w:val="000851D7"/>
    <w:rsid w:val="000957C4"/>
    <w:rsid w:val="00126541"/>
    <w:rsid w:val="001E7AAC"/>
    <w:rsid w:val="0023095B"/>
    <w:rsid w:val="002404E1"/>
    <w:rsid w:val="004C3E51"/>
    <w:rsid w:val="00A92091"/>
    <w:rsid w:val="00DE2725"/>
    <w:rsid w:val="00E40260"/>
    <w:rsid w:val="00F611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FFE7876"/>
  <w15:chartTrackingRefBased/>
  <w15:docId w15:val="{14CE07ED-EA6F-43ED-8E89-C8A754586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ahoma" w:eastAsiaTheme="minorHAnsi" w:hAnsi="Tahoma" w:cs="Tahoma"/>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851D7"/>
    <w:pPr>
      <w:keepNext/>
      <w:keepLines/>
      <w:spacing w:before="240" w:after="0"/>
      <w:outlineLvl w:val="0"/>
    </w:pPr>
    <w:rPr>
      <w:rFonts w:eastAsiaTheme="majorEastAsia" w:cstheme="majorBidi"/>
      <w:sz w:val="32"/>
      <w:szCs w:val="32"/>
    </w:rPr>
  </w:style>
  <w:style w:type="paragraph" w:styleId="Heading9">
    <w:name w:val="heading 9"/>
    <w:basedOn w:val="Normal"/>
    <w:next w:val="Normal"/>
    <w:link w:val="Heading9Char"/>
    <w:uiPriority w:val="9"/>
    <w:semiHidden/>
    <w:unhideWhenUsed/>
    <w:qFormat/>
    <w:rsid w:val="001E7AAC"/>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851D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851D7"/>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0851D7"/>
    <w:rPr>
      <w:rFonts w:eastAsiaTheme="majorEastAsia" w:cstheme="majorBidi"/>
      <w:sz w:val="32"/>
      <w:szCs w:val="32"/>
    </w:rPr>
  </w:style>
  <w:style w:type="character" w:styleId="PlaceholderText">
    <w:name w:val="Placeholder Text"/>
    <w:basedOn w:val="DefaultParagraphFont"/>
    <w:uiPriority w:val="99"/>
    <w:semiHidden/>
    <w:rsid w:val="00E40260"/>
    <w:rPr>
      <w:color w:val="808080"/>
    </w:rPr>
  </w:style>
  <w:style w:type="character" w:customStyle="1" w:styleId="Heading9Char">
    <w:name w:val="Heading 9 Char"/>
    <w:basedOn w:val="DefaultParagraphFont"/>
    <w:link w:val="Heading9"/>
    <w:uiPriority w:val="9"/>
    <w:semiHidden/>
    <w:rsid w:val="001E7AAC"/>
    <w:rPr>
      <w:rFonts w:asciiTheme="majorHAnsi" w:eastAsiaTheme="majorEastAsia" w:hAnsiTheme="majorHAnsi" w:cstheme="majorBidi"/>
      <w:i/>
      <w:iCs/>
      <w:color w:val="272727" w:themeColor="text1" w:themeTint="D8"/>
      <w:sz w:val="21"/>
      <w:szCs w:val="21"/>
    </w:rPr>
  </w:style>
  <w:style w:type="character" w:customStyle="1" w:styleId="a">
    <w:name w:val="_"/>
    <w:basedOn w:val="DefaultParagraphFont"/>
    <w:rsid w:val="001E7AAC"/>
  </w:style>
  <w:style w:type="paragraph" w:styleId="ListParagraph">
    <w:name w:val="List Paragraph"/>
    <w:basedOn w:val="Normal"/>
    <w:uiPriority w:val="34"/>
    <w:qFormat/>
    <w:rsid w:val="00A9209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1882E9364B4A848A617E252A6B6E4E9" ma:contentTypeVersion="6" ma:contentTypeDescription="Create a new document." ma:contentTypeScope="" ma:versionID="53b9002e8a5df2ba89cd5068eed66886">
  <xsd:schema xmlns:xsd="http://www.w3.org/2001/XMLSchema" xmlns:xs="http://www.w3.org/2001/XMLSchema" xmlns:p="http://schemas.microsoft.com/office/2006/metadata/properties" xmlns:ns2="04bddbb1-ef80-45dd-94b8-c980de4dd35e" xmlns:ns3="eb269cce-5e80-4c59-93f6-ecd7b30634d0" targetNamespace="http://schemas.microsoft.com/office/2006/metadata/properties" ma:root="true" ma:fieldsID="d1e3014b5c006a15ed4202c43357a3e0" ns2:_="" ns3:_="">
    <xsd:import namespace="04bddbb1-ef80-45dd-94b8-c980de4dd35e"/>
    <xsd:import namespace="eb269cce-5e80-4c59-93f6-ecd7b30634d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bddbb1-ef80-45dd-94b8-c980de4dd3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b269cce-5e80-4c59-93f6-ecd7b30634d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E4A25A5-21A8-4A3F-B280-9F3C6EA2A6BC}">
  <ds:schemaRefs>
    <ds:schemaRef ds:uri="http://schemas.microsoft.com/sharepoint/v3/contenttype/forms"/>
  </ds:schemaRefs>
</ds:datastoreItem>
</file>

<file path=customXml/itemProps2.xml><?xml version="1.0" encoding="utf-8"?>
<ds:datastoreItem xmlns:ds="http://schemas.openxmlformats.org/officeDocument/2006/customXml" ds:itemID="{A6E4DC84-DFAD-462F-825B-B84F89A17C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bddbb1-ef80-45dd-94b8-c980de4dd35e"/>
    <ds:schemaRef ds:uri="eb269cce-5e80-4c59-93f6-ecd7b30634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48001F-B5AB-40D6-B122-E1237A00AFA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556</Words>
  <Characters>3171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Wozny</dc:creator>
  <cp:keywords/>
  <dc:description/>
  <cp:lastModifiedBy>Christopher Wozny</cp:lastModifiedBy>
  <cp:revision>5</cp:revision>
  <dcterms:created xsi:type="dcterms:W3CDTF">2022-08-04T18:20:00Z</dcterms:created>
  <dcterms:modified xsi:type="dcterms:W3CDTF">2023-05-15T19:18:00Z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0x010100F1882E9364B4A848A617E252A6B6E4E9</vt:lpwstr>
  </property>
</Properties>
</file>